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BF" w:rsidRPr="00634DBF" w:rsidRDefault="00634DBF" w:rsidP="00634DBF">
      <w:pPr>
        <w:shd w:val="clear" w:color="auto" w:fill="FFFFFF"/>
        <w:spacing w:after="90" w:line="240" w:lineRule="auto"/>
        <w:outlineLvl w:val="0"/>
        <w:rPr>
          <w:rFonts w:ascii="Trebuchet MS" w:eastAsia="Times New Roman" w:hAnsi="Trebuchet MS" w:cs="Times New Roman"/>
          <w:b/>
          <w:bCs/>
          <w:color w:val="800000"/>
          <w:kern w:val="36"/>
          <w:sz w:val="36"/>
          <w:szCs w:val="36"/>
          <w:lang w:eastAsia="cs-CZ"/>
        </w:rPr>
      </w:pPr>
      <w:r w:rsidRPr="00634DBF">
        <w:rPr>
          <w:rFonts w:ascii="Trebuchet MS" w:eastAsia="Times New Roman" w:hAnsi="Trebuchet MS" w:cs="Times New Roman"/>
          <w:b/>
          <w:bCs/>
          <w:color w:val="800000"/>
          <w:kern w:val="36"/>
          <w:sz w:val="36"/>
          <w:szCs w:val="36"/>
          <w:lang w:eastAsia="cs-CZ"/>
        </w:rPr>
        <w:t>Vyhláška č. 71/2005 Sb.</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VYHLÁŠKA ze dne 9. února 2005 o základním uměleckém vzdělávání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color w:val="000000"/>
          <w:sz w:val="24"/>
          <w:szCs w:val="24"/>
          <w:lang w:eastAsia="cs-CZ"/>
        </w:rPr>
        <w:t>Ministerstvo školství, mládeže a tělovýchovy stanoví podle §112 a §123 odst. 5 zákona č. 561/2004 Sb., o předškolním, základním, středním, vyšším odborném a jiném vzdělávání (školský zákon):</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1 Organizace základního uměleckého vzdělávání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(1)</w:t>
      </w:r>
      <w:r w:rsidRPr="00634DBF">
        <w:rPr>
          <w:rFonts w:ascii="Trebuchet MS" w:eastAsia="Times New Roman" w:hAnsi="Trebuchet MS" w:cs="Times New Roman"/>
          <w:color w:val="000000"/>
          <w:sz w:val="24"/>
          <w:szCs w:val="24"/>
          <w:lang w:eastAsia="cs-CZ"/>
        </w:rPr>
        <w:t> V základní umělecké škole (dále jen "škola”) lze zřizovat obor hudební, taneční, výtvarný a literárně-dramatický.</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(2)</w:t>
      </w:r>
      <w:r w:rsidRPr="00634DBF">
        <w:rPr>
          <w:rFonts w:ascii="Trebuchet MS" w:eastAsia="Times New Roman" w:hAnsi="Trebuchet MS" w:cs="Times New Roman"/>
          <w:color w:val="000000"/>
          <w:sz w:val="24"/>
          <w:szCs w:val="24"/>
          <w:lang w:eastAsia="cs-CZ"/>
        </w:rPr>
        <w:t> Přípravné studium ke vzdělávání v základním studiu I. stupně má nejvýše 2 ročníky. Je určeno pro žáky od 5 let věku.</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(3)</w:t>
      </w:r>
      <w:r w:rsidRPr="00634DBF">
        <w:rPr>
          <w:rFonts w:ascii="Trebuchet MS" w:eastAsia="Times New Roman" w:hAnsi="Trebuchet MS" w:cs="Times New Roman"/>
          <w:color w:val="000000"/>
          <w:sz w:val="24"/>
          <w:szCs w:val="24"/>
          <w:lang w:eastAsia="cs-CZ"/>
        </w:rPr>
        <w:t> Základní studium I. stupně má 4 až 7 ročníků a je určeno pro žáky od 7 let věku. Základní studium II. stupně má 3 nebo 4 ročníky a je určeno pro žáky od 14 let věku. Počet ročníků základního studia I. a II. stupně v jednotlivých uměleckých oborech stanoví rámcový vzdělávací program pro základní umělecké vzdělávání (dále jen "rámcový vzdělávací program”).</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(4)</w:t>
      </w:r>
      <w:r w:rsidRPr="00634DBF">
        <w:rPr>
          <w:rFonts w:ascii="Trebuchet MS" w:eastAsia="Times New Roman" w:hAnsi="Trebuchet MS" w:cs="Times New Roman"/>
          <w:color w:val="000000"/>
          <w:sz w:val="24"/>
          <w:szCs w:val="24"/>
          <w:lang w:eastAsia="cs-CZ"/>
        </w:rPr>
        <w:t> Pro žáky, kteří nenavštěvovali základní studium I. stupně, je možné organizovat přípravné studium ke vzdělávání v základním studiu II. stupně, které má 1 ročník.</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(5)</w:t>
      </w:r>
      <w:r w:rsidRPr="00634DBF">
        <w:rPr>
          <w:rFonts w:ascii="Trebuchet MS" w:eastAsia="Times New Roman" w:hAnsi="Trebuchet MS" w:cs="Times New Roman"/>
          <w:color w:val="000000"/>
          <w:sz w:val="24"/>
          <w:szCs w:val="24"/>
          <w:lang w:eastAsia="cs-CZ"/>
        </w:rPr>
        <w:t> Studium s rozšířeným počtem vyučovacích hodin je určeno pro žáky základního studia I. a II. stupně, kteří prokáží mimořádné nadání a vynikající výsledky vzdělávání.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(6)</w:t>
      </w:r>
      <w:r w:rsidRPr="00634DBF">
        <w:rPr>
          <w:rFonts w:ascii="Trebuchet MS" w:eastAsia="Times New Roman" w:hAnsi="Trebuchet MS" w:cs="Times New Roman"/>
          <w:color w:val="000000"/>
          <w:sz w:val="24"/>
          <w:szCs w:val="24"/>
          <w:lang w:eastAsia="cs-CZ"/>
        </w:rPr>
        <w:t> Studium pro dospělé má nejvýše 4 ročníky, délka vzdělávání v tomto studiu se určuje podle individuálních schopností žáka s přihlédnutím k jeho věku.</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(7)</w:t>
      </w:r>
      <w:r w:rsidRPr="00634DBF">
        <w:rPr>
          <w:rFonts w:ascii="Trebuchet MS" w:eastAsia="Times New Roman" w:hAnsi="Trebuchet MS" w:cs="Times New Roman"/>
          <w:color w:val="000000"/>
          <w:sz w:val="24"/>
          <w:szCs w:val="24"/>
          <w:lang w:eastAsia="cs-CZ"/>
        </w:rPr>
        <w:t> V jednotlivých uměleckých oborech základního uměleckého vzdělávání (dále jen "vzdělávání”) se organizuje individuální, skupinová a kolektivní výuka. Počet žáků v jednotlivých předmětech a odděleních a charakter skupinové a kolektivní výuky stanoví rámcový vzdělávací program.</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(8)</w:t>
      </w:r>
      <w:r w:rsidRPr="00634DBF">
        <w:rPr>
          <w:rFonts w:ascii="Trebuchet MS" w:eastAsia="Times New Roman" w:hAnsi="Trebuchet MS" w:cs="Times New Roman"/>
          <w:color w:val="000000"/>
          <w:sz w:val="24"/>
          <w:szCs w:val="24"/>
          <w:lang w:eastAsia="cs-CZ"/>
        </w:rPr>
        <w:t> Ředitel školy může ze zdravotních nebo jiných závažných důvodů výjimečně uvolnit žáka zcela nebo zčásti z pravidelné docházky do některého povinného předmětu stanoveného školním vzdělávacím programem, a to buď na školní rok nebo jeho část; zároveň stanoví náhradní způsob výuky, obsah a rozsah zkoušek z předmětu, ze kterého byl žák uvolněn.</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(9)</w:t>
      </w:r>
      <w:r w:rsidRPr="00634DBF">
        <w:rPr>
          <w:rFonts w:ascii="Trebuchet MS" w:eastAsia="Times New Roman" w:hAnsi="Trebuchet MS" w:cs="Times New Roman"/>
          <w:color w:val="000000"/>
          <w:sz w:val="24"/>
          <w:szCs w:val="24"/>
          <w:lang w:eastAsia="cs-CZ"/>
        </w:rPr>
        <w:t> Škola může v souladu se školním vzdělávacím programem organizovat koncerty, výstavy a vystoupení, výjezdy do zahraničí a další akce související s výchovně vzdělávací činností.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(10)</w:t>
      </w:r>
      <w:r w:rsidRPr="00634DBF">
        <w:rPr>
          <w:rFonts w:ascii="Trebuchet MS" w:eastAsia="Times New Roman" w:hAnsi="Trebuchet MS" w:cs="Times New Roman"/>
          <w:color w:val="000000"/>
          <w:sz w:val="24"/>
          <w:szCs w:val="24"/>
          <w:lang w:eastAsia="cs-CZ"/>
        </w:rPr>
        <w:t> 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(11)</w:t>
      </w:r>
      <w:r w:rsidRPr="00634DBF">
        <w:rPr>
          <w:rFonts w:ascii="Trebuchet MS" w:eastAsia="Times New Roman" w:hAnsi="Trebuchet MS" w:cs="Times New Roman"/>
          <w:color w:val="000000"/>
          <w:sz w:val="24"/>
          <w:szCs w:val="24"/>
          <w:lang w:eastAsia="cs-CZ"/>
        </w:rPr>
        <w:t xml:space="preserve"> Bezpečnost a ochranu zdraví nezletilých žáků ve škole, při vzdělávání mimo místo, kde se uskutečňuje </w:t>
      </w:r>
      <w:proofErr w:type="gramStart"/>
      <w:r w:rsidRPr="00634DBF">
        <w:rPr>
          <w:rFonts w:ascii="Trebuchet MS" w:eastAsia="Times New Roman" w:hAnsi="Trebuchet MS" w:cs="Times New Roman"/>
          <w:color w:val="000000"/>
          <w:sz w:val="24"/>
          <w:szCs w:val="24"/>
          <w:lang w:eastAsia="cs-CZ"/>
        </w:rPr>
        <w:t>vzdělávání[</w:t>
      </w:r>
      <w:proofErr w:type="gramEnd"/>
      <w:r w:rsidRPr="00634DBF">
        <w:rPr>
          <w:rFonts w:ascii="Trebuchet MS" w:eastAsia="Times New Roman" w:hAnsi="Trebuchet MS" w:cs="Times New Roman"/>
          <w:color w:val="000000"/>
          <w:sz w:val="24"/>
          <w:szCs w:val="24"/>
          <w:lang w:eastAsia="cs-CZ"/>
        </w:rPr>
        <w:t>1], a při akcích konaných mimo místo, kde se uskutečňuje vzdělávání, zajišťuje právnická osoba, která vykonává činnost školy, svými zaměstnanci, vždy však nejméně jedním pedagogickým pracovníkem. Zaměstnance, který není pedagogickým pracovníkem, může ředitel školy k zajištění bezpečnosti a ochrany zdraví nezletilých žáků určit pouze, pokud je zletilý a způsobilý k právním úkonům.</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(12)</w:t>
      </w:r>
      <w:r w:rsidRPr="00634DBF">
        <w:rPr>
          <w:rFonts w:ascii="Trebuchet MS" w:eastAsia="Times New Roman" w:hAnsi="Trebuchet MS" w:cs="Times New Roman"/>
          <w:color w:val="000000"/>
          <w:sz w:val="24"/>
          <w:szCs w:val="24"/>
          <w:lang w:eastAsia="cs-CZ"/>
        </w:rPr>
        <w:t> Při akcích konaných mimo místo, kde se uskutečňuje vzdělávání, nesmí na jednu osobu zajišťující bezpečnost a ochranu zdraví nezletilých žáků připadnout více než 25 těchto žáků. Výjimku z tohoto počtu může stanovit s ohledem na náročnost zajištění bezpečnosti a ochrany zdraví nezletilých žáků ředitel školy.</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§1 (13)</w:t>
      </w:r>
      <w:r w:rsidRPr="00634DBF">
        <w:rPr>
          <w:rFonts w:ascii="Trebuchet MS" w:eastAsia="Times New Roman" w:hAnsi="Trebuchet MS" w:cs="Times New Roman"/>
          <w:color w:val="000000"/>
          <w:sz w:val="24"/>
          <w:szCs w:val="24"/>
          <w:lang w:eastAsia="cs-CZ"/>
        </w:rPr>
        <w:t xml:space="preserve"> Při akcích konaných mimo místo, kde se uskutečňuje vzdělávání, kdy místem pro shromáždění nezletilých žáků není místo, kde se uskutečňuje vzdělávání, se zajišťuje bezpečnost a ochrana zdraví nezletilých žáků na předem určeném místě 15 minut před dobou shromáždění. Po skončení akce končí zajišťování bezpečnosti a ochrany zdraví těchto žáků </w:t>
      </w:r>
      <w:r w:rsidRPr="00634DBF">
        <w:rPr>
          <w:rFonts w:ascii="Trebuchet MS" w:eastAsia="Times New Roman" w:hAnsi="Trebuchet MS" w:cs="Times New Roman"/>
          <w:color w:val="000000"/>
          <w:sz w:val="24"/>
          <w:szCs w:val="24"/>
          <w:lang w:eastAsia="cs-CZ"/>
        </w:rPr>
        <w:lastRenderedPageBreak/>
        <w:t>na předem určeném místě a v předem určeném čase. Místo a čas shromáždění nezletilých žáků a skončení akce škola oznámí nejméně 1 den předem jejich zákonným zástupcům.</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2 Přijímání uchazečů ke vzdělávání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§2 (1)</w:t>
      </w:r>
      <w:r w:rsidRPr="00634DBF">
        <w:rPr>
          <w:rFonts w:ascii="Trebuchet MS" w:eastAsia="Times New Roman" w:hAnsi="Trebuchet MS" w:cs="Times New Roman"/>
          <w:color w:val="000000"/>
          <w:sz w:val="24"/>
          <w:szCs w:val="24"/>
          <w:lang w:eastAsia="cs-CZ"/>
        </w:rPr>
        <w:t> Do přípravného studia jsou přijímáni uchazeči, kteří prokáží předpoklady ke vzdělávání.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§2 (2)</w:t>
      </w:r>
      <w:r w:rsidRPr="00634DBF">
        <w:rPr>
          <w:rFonts w:ascii="Trebuchet MS" w:eastAsia="Times New Roman" w:hAnsi="Trebuchet MS" w:cs="Times New Roman"/>
          <w:color w:val="000000"/>
          <w:sz w:val="24"/>
          <w:szCs w:val="24"/>
          <w:lang w:eastAsia="cs-CZ"/>
        </w:rPr>
        <w:t> Do základního studia I. a II. stupně a studia pro dospělé jsou přijímáni uchazeči na základě úspěšného vykonání talentové zkoušky a doporučení přijímací komise, jejíž členy jmenuje ředitel školy. Talentová zkouška může být nahrazena úspěšným ukončením základního studia předcházejícího stupně. Termín konání talentových zkoušek škola zveřejní nejpozději 14 dní před jejich konáním.</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§2 (3)</w:t>
      </w:r>
      <w:r w:rsidRPr="00634DBF">
        <w:rPr>
          <w:rFonts w:ascii="Trebuchet MS" w:eastAsia="Times New Roman" w:hAnsi="Trebuchet MS" w:cs="Times New Roman"/>
          <w:color w:val="000000"/>
          <w:sz w:val="24"/>
          <w:szCs w:val="24"/>
          <w:lang w:eastAsia="cs-CZ"/>
        </w:rPr>
        <w:t> Do studia s rozšířeným počtem vyučovacích hodin přijme žáka ředitel školy na návrh učitele hlavního předmětu.</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§2 (4)</w:t>
      </w:r>
      <w:r w:rsidRPr="00634DBF">
        <w:rPr>
          <w:rFonts w:ascii="Trebuchet MS" w:eastAsia="Times New Roman" w:hAnsi="Trebuchet MS" w:cs="Times New Roman"/>
          <w:color w:val="000000"/>
          <w:sz w:val="24"/>
          <w:szCs w:val="24"/>
          <w:lang w:eastAsia="cs-CZ"/>
        </w:rPr>
        <w:t> Do přípravného a základního studia mohou být výjimečně přijati mimořádně nadaní uchazeči, kteří nedosáhli stanoveného věku. Uchazeči, kteří překročili věk stanovený v §1 odst. 3, mohou být podle výsledku talentové zkoušky přijati do některého z vyšších ročníků základního studia.</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3 Hodnocení žáka</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§3 (1)</w:t>
      </w:r>
      <w:r w:rsidRPr="00634DBF">
        <w:rPr>
          <w:rFonts w:ascii="Trebuchet MS" w:eastAsia="Times New Roman" w:hAnsi="Trebuchet MS" w:cs="Times New Roman"/>
          <w:color w:val="000000"/>
          <w:sz w:val="24"/>
          <w:szCs w:val="24"/>
          <w:lang w:eastAsia="cs-CZ"/>
        </w:rPr>
        <w:t> Hodnocení výsledků vzdělávání žáka na vysvědčení může být vyjádřeno klasifikací, slovně nebo kombinací obou způsobů. O způsobu hodnocení rozhoduje ředitel školy.</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§3 (2)</w:t>
      </w:r>
      <w:r w:rsidRPr="00634DBF">
        <w:rPr>
          <w:rFonts w:ascii="Trebuchet MS" w:eastAsia="Times New Roman" w:hAnsi="Trebuchet MS" w:cs="Times New Roman"/>
          <w:color w:val="000000"/>
          <w:sz w:val="24"/>
          <w:szCs w:val="24"/>
          <w:lang w:eastAsia="cs-CZ"/>
        </w:rPr>
        <w:t> Slovní hodnocení na vysvědčení je konkrétním slovním vyjádřením dosažené vzdělávací úrovně žáka ve vztahu k cílům vzdělávání stanoveným rámcovým vzdělávacím programem, k vlastním možnostem, přístupu žáka ke vzdělávání a jeho věku.</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§3 (3)</w:t>
      </w:r>
      <w:r w:rsidRPr="00634DBF">
        <w:rPr>
          <w:rFonts w:ascii="Trebuchet MS" w:eastAsia="Times New Roman" w:hAnsi="Trebuchet MS" w:cs="Times New Roman"/>
          <w:color w:val="000000"/>
          <w:sz w:val="24"/>
          <w:szCs w:val="24"/>
          <w:lang w:eastAsia="cs-CZ"/>
        </w:rPr>
        <w:t> Žák je v případě použití klasifikace v jednotlivých předmětech hodnocen na vysvědčení těmito stupni prospěchu: </w:t>
      </w:r>
      <w:r w:rsidRPr="00634DBF">
        <w:rPr>
          <w:rFonts w:ascii="Trebuchet MS" w:eastAsia="Times New Roman" w:hAnsi="Trebuchet MS" w:cs="Times New Roman"/>
          <w:color w:val="000000"/>
          <w:sz w:val="24"/>
          <w:szCs w:val="24"/>
          <w:lang w:eastAsia="cs-CZ"/>
        </w:rPr>
        <w:br/>
        <w:t>a) 1 - výborný, </w:t>
      </w:r>
      <w:r w:rsidRPr="00634DBF">
        <w:rPr>
          <w:rFonts w:ascii="Trebuchet MS" w:eastAsia="Times New Roman" w:hAnsi="Trebuchet MS" w:cs="Times New Roman"/>
          <w:color w:val="000000"/>
          <w:sz w:val="24"/>
          <w:szCs w:val="24"/>
          <w:lang w:eastAsia="cs-CZ"/>
        </w:rPr>
        <w:br/>
        <w:t>b) 2 - chvalitebný, </w:t>
      </w:r>
      <w:r w:rsidRPr="00634DBF">
        <w:rPr>
          <w:rFonts w:ascii="Trebuchet MS" w:eastAsia="Times New Roman" w:hAnsi="Trebuchet MS" w:cs="Times New Roman"/>
          <w:color w:val="000000"/>
          <w:sz w:val="24"/>
          <w:szCs w:val="24"/>
          <w:lang w:eastAsia="cs-CZ"/>
        </w:rPr>
        <w:br/>
        <w:t>c) 3 - uspokojivý, </w:t>
      </w:r>
      <w:r w:rsidRPr="00634DBF">
        <w:rPr>
          <w:rFonts w:ascii="Trebuchet MS" w:eastAsia="Times New Roman" w:hAnsi="Trebuchet MS" w:cs="Times New Roman"/>
          <w:color w:val="000000"/>
          <w:sz w:val="24"/>
          <w:szCs w:val="24"/>
          <w:lang w:eastAsia="cs-CZ"/>
        </w:rPr>
        <w:br/>
        <w:t>d) 4 - neuspokojivý.</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§3 (4)</w:t>
      </w:r>
      <w:r w:rsidRPr="00634DBF">
        <w:rPr>
          <w:rFonts w:ascii="Trebuchet MS" w:eastAsia="Times New Roman" w:hAnsi="Trebuchet MS" w:cs="Times New Roman"/>
          <w:color w:val="000000"/>
          <w:sz w:val="24"/>
          <w:szCs w:val="24"/>
          <w:lang w:eastAsia="cs-CZ"/>
        </w:rPr>
        <w:t> Žák je na konci prvního a druhého pololetí celkově hodnocen těmito stupni: </w:t>
      </w:r>
      <w:r w:rsidRPr="00634DBF">
        <w:rPr>
          <w:rFonts w:ascii="Trebuchet MS" w:eastAsia="Times New Roman" w:hAnsi="Trebuchet MS" w:cs="Times New Roman"/>
          <w:color w:val="000000"/>
          <w:sz w:val="24"/>
          <w:szCs w:val="24"/>
          <w:lang w:eastAsia="cs-CZ"/>
        </w:rPr>
        <w:br/>
        <w:t>a) prospěl(a) s vyznamenáním, </w:t>
      </w:r>
      <w:r w:rsidRPr="00634DBF">
        <w:rPr>
          <w:rFonts w:ascii="Trebuchet MS" w:eastAsia="Times New Roman" w:hAnsi="Trebuchet MS" w:cs="Times New Roman"/>
          <w:color w:val="000000"/>
          <w:sz w:val="24"/>
          <w:szCs w:val="24"/>
          <w:lang w:eastAsia="cs-CZ"/>
        </w:rPr>
        <w:br/>
        <w:t>b) prospěl(a), </w:t>
      </w:r>
      <w:r w:rsidRPr="00634DBF">
        <w:rPr>
          <w:rFonts w:ascii="Trebuchet MS" w:eastAsia="Times New Roman" w:hAnsi="Trebuchet MS" w:cs="Times New Roman"/>
          <w:color w:val="000000"/>
          <w:sz w:val="24"/>
          <w:szCs w:val="24"/>
          <w:lang w:eastAsia="cs-CZ"/>
        </w:rPr>
        <w:br/>
        <w:t>c) neprospěl(a).</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§3 (5)</w:t>
      </w:r>
      <w:r w:rsidRPr="00634DBF">
        <w:rPr>
          <w:rFonts w:ascii="Trebuchet MS" w:eastAsia="Times New Roman" w:hAnsi="Trebuchet MS" w:cs="Times New Roman"/>
          <w:color w:val="000000"/>
          <w:sz w:val="24"/>
          <w:szCs w:val="24"/>
          <w:lang w:eastAsia="cs-CZ"/>
        </w:rPr>
        <w:t xml:space="preserve"> Žák prospěl s vyznamenáním, jestliže je z hlavního předmětu hodnocen stupněm prospěchu 1 - výborný, v žádném povinném předmětu není hodnocen stupněm prospěchu horším než 2 - chvalitebný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předmětů nemá vyšší než 1,5. V případě použití slovního hodnocení nebo kombinace slovního hodnocení a klasifikace postupuje škola podle pravidel pro hodnocení výsledků vzdělávání žáků stanovených ve školním </w:t>
      </w:r>
      <w:proofErr w:type="gramStart"/>
      <w:r w:rsidRPr="00634DBF">
        <w:rPr>
          <w:rFonts w:ascii="Trebuchet MS" w:eastAsia="Times New Roman" w:hAnsi="Trebuchet MS" w:cs="Times New Roman"/>
          <w:color w:val="000000"/>
          <w:sz w:val="24"/>
          <w:szCs w:val="24"/>
          <w:lang w:eastAsia="cs-CZ"/>
        </w:rPr>
        <w:t>řádu[</w:t>
      </w:r>
      <w:proofErr w:type="gramEnd"/>
      <w:r w:rsidRPr="00634DBF">
        <w:rPr>
          <w:rFonts w:ascii="Trebuchet MS" w:eastAsia="Times New Roman" w:hAnsi="Trebuchet MS" w:cs="Times New Roman"/>
          <w:color w:val="000000"/>
          <w:sz w:val="24"/>
          <w:szCs w:val="24"/>
          <w:lang w:eastAsia="cs-CZ"/>
        </w:rPr>
        <w:t>2].</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§3 (6)</w:t>
      </w:r>
      <w:r w:rsidRPr="00634DBF">
        <w:rPr>
          <w:rFonts w:ascii="Trebuchet MS" w:eastAsia="Times New Roman" w:hAnsi="Trebuchet MS" w:cs="Times New Roman"/>
          <w:color w:val="000000"/>
          <w:sz w:val="24"/>
          <w:szCs w:val="24"/>
          <w:lang w:eastAsia="cs-CZ"/>
        </w:rPr>
        <w:t> Žák prospěl, jestliže nebyl ani v jednom povinném předmětu hodnocen stupněm prospěchu 4 - neuspokojivý nebo odpovídajícím slovním hodnocením.</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§3 (7)</w:t>
      </w:r>
      <w:r w:rsidRPr="00634DBF">
        <w:rPr>
          <w:rFonts w:ascii="Trebuchet MS" w:eastAsia="Times New Roman" w:hAnsi="Trebuchet MS" w:cs="Times New Roman"/>
          <w:color w:val="000000"/>
          <w:sz w:val="24"/>
          <w:szCs w:val="24"/>
          <w:lang w:eastAsia="cs-CZ"/>
        </w:rPr>
        <w:t> Žák neprospěl, jestliže byl z některého povinného předmětu hodnocen stupněm prospěchu 4 - neuspokojivý nebo odpovídajícím slovním hodnocením.</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§3 (8)</w:t>
      </w:r>
      <w:r w:rsidRPr="00634DBF">
        <w:rPr>
          <w:rFonts w:ascii="Trebuchet MS" w:eastAsia="Times New Roman" w:hAnsi="Trebuchet MS" w:cs="Times New Roman"/>
          <w:color w:val="000000"/>
          <w:sz w:val="24"/>
          <w:szCs w:val="24"/>
          <w:lang w:eastAsia="cs-CZ"/>
        </w:rPr>
        <w:t> 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lastRenderedPageBreak/>
        <w:t>§3 (9)</w:t>
      </w:r>
      <w:r w:rsidRPr="00634DBF">
        <w:rPr>
          <w:rFonts w:ascii="Trebuchet MS" w:eastAsia="Times New Roman" w:hAnsi="Trebuchet MS" w:cs="Times New Roman"/>
          <w:color w:val="000000"/>
          <w:sz w:val="24"/>
          <w:szCs w:val="24"/>
          <w:lang w:eastAsia="cs-CZ"/>
        </w:rPr>
        <w:t xml:space="preserve"> Ředitel školy může uznat částečné vzdělání žáka, pokud je doloženo prokazatelným způsobem a od doby jeho dosažení neuplynulo více než 5 let. Uzná-li ředitel školy dosažené vzdělání </w:t>
      </w:r>
      <w:proofErr w:type="spellStart"/>
      <w:r w:rsidRPr="00634DBF">
        <w:rPr>
          <w:rFonts w:ascii="Trebuchet MS" w:eastAsia="Times New Roman" w:hAnsi="Trebuchet MS" w:cs="Times New Roman"/>
          <w:color w:val="000000"/>
          <w:sz w:val="24"/>
          <w:szCs w:val="24"/>
          <w:lang w:eastAsia="cs-CZ"/>
        </w:rPr>
        <w:t>žákA</w:t>
      </w:r>
      <w:proofErr w:type="spellEnd"/>
      <w:r w:rsidRPr="00634DBF">
        <w:rPr>
          <w:rFonts w:ascii="Trebuchet MS" w:eastAsia="Times New Roman" w:hAnsi="Trebuchet MS" w:cs="Times New Roman"/>
          <w:color w:val="000000"/>
          <w:sz w:val="24"/>
          <w:szCs w:val="24"/>
          <w:lang w:eastAsia="cs-CZ"/>
        </w:rPr>
        <w:t>, uvolní žáka z vyučování a hodnocení v rozsahu uznaného vzdělání.</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4 Postup žáka do vyššího ročníku a opakování ročníku</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§4 (1)</w:t>
      </w:r>
      <w:r w:rsidRPr="00634DBF">
        <w:rPr>
          <w:rFonts w:ascii="Trebuchet MS" w:eastAsia="Times New Roman" w:hAnsi="Trebuchet MS" w:cs="Times New Roman"/>
          <w:color w:val="000000"/>
          <w:sz w:val="24"/>
          <w:szCs w:val="24"/>
          <w:lang w:eastAsia="cs-CZ"/>
        </w:rPr>
        <w:t> Do vyššího ročníku postupuje žák, který byl na konci druhého pololetí celkově hodnocen stupněm prospěl(a) nebo prospěl(a) s vyznamenáním a úspěšně vykonal postupovou zkoušku, pokud tak stanoví rámcový vzdělávací program.</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§4 (2)</w:t>
      </w:r>
      <w:r w:rsidRPr="00634DBF">
        <w:rPr>
          <w:rFonts w:ascii="Trebuchet MS" w:eastAsia="Times New Roman" w:hAnsi="Trebuchet MS" w:cs="Times New Roman"/>
          <w:color w:val="000000"/>
          <w:sz w:val="24"/>
          <w:szCs w:val="24"/>
          <w:lang w:eastAsia="cs-CZ"/>
        </w:rPr>
        <w:t> Mimořádně nadaného žáka lze na konci prvního pololetí nebo na konci druhého pololetí přeřadit do některého z vyšších ročníků bez absolvování předchozího ročníku či ročníků, a to po úspěšném vykonání postupových zkoušek ze všech povinných předmětů.</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§4 (3)</w:t>
      </w:r>
      <w:r w:rsidRPr="00634DBF">
        <w:rPr>
          <w:rFonts w:ascii="Trebuchet MS" w:eastAsia="Times New Roman" w:hAnsi="Trebuchet MS" w:cs="Times New Roman"/>
          <w:color w:val="000000"/>
          <w:sz w:val="24"/>
          <w:szCs w:val="24"/>
          <w:lang w:eastAsia="cs-CZ"/>
        </w:rPr>
        <w:t> Žákovi, který nebyl na konci druhého pololetí hodnocen, lze v odůvodněných případech umožnit opakování ročníku.</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§4 (4)</w:t>
      </w:r>
      <w:r w:rsidRPr="00634DBF">
        <w:rPr>
          <w:rFonts w:ascii="Trebuchet MS" w:eastAsia="Times New Roman" w:hAnsi="Trebuchet MS" w:cs="Times New Roman"/>
          <w:color w:val="000000"/>
          <w:sz w:val="24"/>
          <w:szCs w:val="24"/>
          <w:lang w:eastAsia="cs-CZ"/>
        </w:rPr>
        <w:t> Žáka studia s rozšířeným počtem vyučovacích hodin, který na konci druhého pololetí neprospěl, lze přeřadit zpět do příslušného ročníku základního studia.</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5 Opravné zkoušky</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§5 (1)</w:t>
      </w:r>
      <w:r w:rsidRPr="00634DBF">
        <w:rPr>
          <w:rFonts w:ascii="Trebuchet MS" w:eastAsia="Times New Roman" w:hAnsi="Trebuchet MS" w:cs="Times New Roman"/>
          <w:color w:val="000000"/>
          <w:sz w:val="24"/>
          <w:szCs w:val="24"/>
          <w:lang w:eastAsia="cs-CZ"/>
        </w:rPr>
        <w:t> Žák, který je na konci druhého pololetí hodnocen stupněm prospěchu 4 - neuspokojivý nebo odpovídajícím slovním hodnocením z jiného než hlavního předmětu, koná opravnou zkoušku nejpozději v posledním týdnu měsíce srpna příslušného školního roku. Z hlavního předmětu opravnou zkoušku nelze konat.</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§5 (2)</w:t>
      </w:r>
      <w:r w:rsidRPr="00634DBF">
        <w:rPr>
          <w:rFonts w:ascii="Trebuchet MS" w:eastAsia="Times New Roman" w:hAnsi="Trebuchet MS" w:cs="Times New Roman"/>
          <w:color w:val="000000"/>
          <w:sz w:val="24"/>
          <w:szCs w:val="24"/>
          <w:lang w:eastAsia="cs-CZ"/>
        </w:rPr>
        <w:t> Jestliže se žák nedostaví k opravné zkoušce v určeném termínu, je hodnocen z předmětu, ze kterého měl konat opravnou zkoušku, stupněm 4 - neuspokojivý. Jestliže se žák nemohl dostavit k opravné zkoušce ze závažných objektivních příčin a svou neúčast omluví řediteli školy nejpozději do 3 dnů od termínu stanoveného pro vykonání této zkoušky, určí ředitel školy náhradní termín pro její vykonání.</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6 Komisionální zkoušky</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§6 (1)</w:t>
      </w:r>
      <w:r w:rsidRPr="00634DBF">
        <w:rPr>
          <w:rFonts w:ascii="Trebuchet MS" w:eastAsia="Times New Roman" w:hAnsi="Trebuchet MS" w:cs="Times New Roman"/>
          <w:color w:val="000000"/>
          <w:sz w:val="24"/>
          <w:szCs w:val="24"/>
          <w:lang w:eastAsia="cs-CZ"/>
        </w:rPr>
        <w:t> Komisionální zkoušky se konají: </w:t>
      </w:r>
      <w:r w:rsidRPr="00634DBF">
        <w:rPr>
          <w:rFonts w:ascii="Trebuchet MS" w:eastAsia="Times New Roman" w:hAnsi="Trebuchet MS" w:cs="Times New Roman"/>
          <w:color w:val="000000"/>
          <w:sz w:val="24"/>
          <w:szCs w:val="24"/>
          <w:lang w:eastAsia="cs-CZ"/>
        </w:rPr>
        <w:br/>
        <w:t>a) při postupových zkouškách podle §4 odst. 1, </w:t>
      </w:r>
      <w:r w:rsidRPr="00634DBF">
        <w:rPr>
          <w:rFonts w:ascii="Trebuchet MS" w:eastAsia="Times New Roman" w:hAnsi="Trebuchet MS" w:cs="Times New Roman"/>
          <w:color w:val="000000"/>
          <w:sz w:val="24"/>
          <w:szCs w:val="24"/>
          <w:lang w:eastAsia="cs-CZ"/>
        </w:rPr>
        <w:br/>
        <w:t>b) při závěrečných zkouškách na konci základního studia I. a II. stupně, studia s rozšířeným počtem vyučovacích hodin a studia pro dospělé, </w:t>
      </w:r>
      <w:r w:rsidRPr="00634DBF">
        <w:rPr>
          <w:rFonts w:ascii="Trebuchet MS" w:eastAsia="Times New Roman" w:hAnsi="Trebuchet MS" w:cs="Times New Roman"/>
          <w:color w:val="000000"/>
          <w:sz w:val="24"/>
          <w:szCs w:val="24"/>
          <w:lang w:eastAsia="cs-CZ"/>
        </w:rPr>
        <w:br/>
        <w:t>c) při zkouškách z hlavního předmětu studia s rozšířeným počtem vyučovacích hodin, </w:t>
      </w:r>
      <w:r w:rsidRPr="00634DBF">
        <w:rPr>
          <w:rFonts w:ascii="Trebuchet MS" w:eastAsia="Times New Roman" w:hAnsi="Trebuchet MS" w:cs="Times New Roman"/>
          <w:color w:val="000000"/>
          <w:sz w:val="24"/>
          <w:szCs w:val="24"/>
          <w:lang w:eastAsia="cs-CZ"/>
        </w:rPr>
        <w:br/>
        <w:t>d) při přeřazení mimořádně nadaného žáka do některého vyššího ročníku bez absolvování předcházejícího ročníku nebo ročníků podle §4 odst. 2 a </w:t>
      </w:r>
      <w:r w:rsidRPr="00634DBF">
        <w:rPr>
          <w:rFonts w:ascii="Trebuchet MS" w:eastAsia="Times New Roman" w:hAnsi="Trebuchet MS" w:cs="Times New Roman"/>
          <w:color w:val="000000"/>
          <w:sz w:val="24"/>
          <w:szCs w:val="24"/>
          <w:lang w:eastAsia="cs-CZ"/>
        </w:rPr>
        <w:br/>
        <w:t>e) při opravných zkouškách.</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§6 (2)</w:t>
      </w:r>
      <w:r w:rsidRPr="00634DBF">
        <w:rPr>
          <w:rFonts w:ascii="Trebuchet MS" w:eastAsia="Times New Roman" w:hAnsi="Trebuchet MS" w:cs="Times New Roman"/>
          <w:color w:val="000000"/>
          <w:sz w:val="24"/>
          <w:szCs w:val="24"/>
          <w:lang w:eastAsia="cs-CZ"/>
        </w:rPr>
        <w:t> Zkušební komise je nejméně tříčlenná a skládá se z odborníků příslušného předmětu nebo oboru. Členy komise jmenuje ředitel školy. Jejím předsedou je ředitel školy nebo jím pověřený učitel. O hodnocení zkoušky rozhoduje komise většinou hlasů, při rovnosti hlasů rozhoduje hlas předsedy.</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7 Ukončení vzdělávání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§7 (1)</w:t>
      </w:r>
      <w:r w:rsidRPr="00634DBF">
        <w:rPr>
          <w:rFonts w:ascii="Trebuchet MS" w:eastAsia="Times New Roman" w:hAnsi="Trebuchet MS" w:cs="Times New Roman"/>
          <w:color w:val="000000"/>
          <w:sz w:val="24"/>
          <w:szCs w:val="24"/>
          <w:lang w:eastAsia="cs-CZ"/>
        </w:rPr>
        <w:t> Základní studium I. a II. stupně, studium s rozšířeným počtem vyučovacích hodin a studium pro dospělé se ukončují vykonáním závěrečné zkoušky. Závěrečná zkouška může mít formu absolventského vystoupení nebo vystavení výtvarných prací na výstavě.</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§7 (2)</w:t>
      </w:r>
      <w:r w:rsidRPr="00634DBF">
        <w:rPr>
          <w:rFonts w:ascii="Trebuchet MS" w:eastAsia="Times New Roman" w:hAnsi="Trebuchet MS" w:cs="Times New Roman"/>
          <w:color w:val="000000"/>
          <w:sz w:val="24"/>
          <w:szCs w:val="24"/>
          <w:lang w:eastAsia="cs-CZ"/>
        </w:rPr>
        <w:t> Žák přestává být žákem školy: </w:t>
      </w:r>
      <w:r w:rsidRPr="00634DBF">
        <w:rPr>
          <w:rFonts w:ascii="Trebuchet MS" w:eastAsia="Times New Roman" w:hAnsi="Trebuchet MS" w:cs="Times New Roman"/>
          <w:color w:val="000000"/>
          <w:sz w:val="24"/>
          <w:szCs w:val="24"/>
          <w:lang w:eastAsia="cs-CZ"/>
        </w:rPr>
        <w:br/>
        <w:t>a) jestliže nevykonal závěrečnou zkoušku nebo byl na konci druhého pololetí celkově hodnocen stupněm neprospěl a nebylo mu povoleno opakování ročníku, </w:t>
      </w:r>
      <w:r w:rsidRPr="00634DBF">
        <w:rPr>
          <w:rFonts w:ascii="Trebuchet MS" w:eastAsia="Times New Roman" w:hAnsi="Trebuchet MS" w:cs="Times New Roman"/>
          <w:color w:val="000000"/>
          <w:sz w:val="24"/>
          <w:szCs w:val="24"/>
          <w:lang w:eastAsia="cs-CZ"/>
        </w:rPr>
        <w:br/>
        <w:t xml:space="preserve">b) jestliže byl vyloučen ze </w:t>
      </w:r>
      <w:proofErr w:type="gramStart"/>
      <w:r w:rsidRPr="00634DBF">
        <w:rPr>
          <w:rFonts w:ascii="Trebuchet MS" w:eastAsia="Times New Roman" w:hAnsi="Trebuchet MS" w:cs="Times New Roman"/>
          <w:color w:val="000000"/>
          <w:sz w:val="24"/>
          <w:szCs w:val="24"/>
          <w:lang w:eastAsia="cs-CZ"/>
        </w:rPr>
        <w:t>školy[</w:t>
      </w:r>
      <w:proofErr w:type="gramEnd"/>
      <w:r w:rsidRPr="00634DBF">
        <w:rPr>
          <w:rFonts w:ascii="Trebuchet MS" w:eastAsia="Times New Roman" w:hAnsi="Trebuchet MS" w:cs="Times New Roman"/>
          <w:color w:val="000000"/>
          <w:sz w:val="24"/>
          <w:szCs w:val="24"/>
          <w:lang w:eastAsia="cs-CZ"/>
        </w:rPr>
        <w:t>3], </w:t>
      </w:r>
      <w:r w:rsidRPr="00634DBF">
        <w:rPr>
          <w:rFonts w:ascii="Trebuchet MS" w:eastAsia="Times New Roman" w:hAnsi="Trebuchet MS" w:cs="Times New Roman"/>
          <w:color w:val="000000"/>
          <w:sz w:val="24"/>
          <w:szCs w:val="24"/>
          <w:lang w:eastAsia="cs-CZ"/>
        </w:rPr>
        <w:br/>
        <w:t>c) v případě, že o to písemně požádá zákonný zástupce nezletilého žáka nebo zletilý žák, </w:t>
      </w:r>
      <w:r w:rsidRPr="00634DBF">
        <w:rPr>
          <w:rFonts w:ascii="Trebuchet MS" w:eastAsia="Times New Roman" w:hAnsi="Trebuchet MS" w:cs="Times New Roman"/>
          <w:color w:val="000000"/>
          <w:sz w:val="24"/>
          <w:szCs w:val="24"/>
          <w:lang w:eastAsia="cs-CZ"/>
        </w:rPr>
        <w:br/>
        <w:t>d) v případě, že zákonný zástupce nezletilého žáka nebo zletilý žák neuhradil úplatu za vzdělávání ve stanoveném termínu.</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lastRenderedPageBreak/>
        <w:t>§7 (3)</w:t>
      </w:r>
      <w:r w:rsidRPr="00634DBF">
        <w:rPr>
          <w:rFonts w:ascii="Trebuchet MS" w:eastAsia="Times New Roman" w:hAnsi="Trebuchet MS" w:cs="Times New Roman"/>
          <w:color w:val="000000"/>
          <w:sz w:val="24"/>
          <w:szCs w:val="24"/>
          <w:lang w:eastAsia="cs-CZ"/>
        </w:rPr>
        <w:t> O ukončení vzdělávání podle odstavce 2 písm. a) nebo d) je zákonný zástupce žáka nebo zletilý žák vyrozuměn písemně do jednoho týdne od ukončení vzdělávání.</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8 Úplata za vzdělávání ve školách zřizovaných státem, krajem, obcí nebo svazkem obcí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§8 (1)</w:t>
      </w:r>
      <w:r w:rsidRPr="00634DBF">
        <w:rPr>
          <w:rFonts w:ascii="Trebuchet MS" w:eastAsia="Times New Roman" w:hAnsi="Trebuchet MS" w:cs="Times New Roman"/>
          <w:color w:val="000000"/>
          <w:sz w:val="24"/>
          <w:szCs w:val="24"/>
          <w:lang w:eastAsia="cs-CZ"/>
        </w:rPr>
        <w:t> 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rozpočtu[4].</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§8 (2)</w:t>
      </w:r>
      <w:r w:rsidRPr="00634DBF">
        <w:rPr>
          <w:rFonts w:ascii="Trebuchet MS" w:eastAsia="Times New Roman" w:hAnsi="Trebuchet MS" w:cs="Times New Roman"/>
          <w:color w:val="000000"/>
          <w:sz w:val="24"/>
          <w:szCs w:val="24"/>
          <w:lang w:eastAsia="cs-CZ"/>
        </w:rPr>
        <w:t> U studia pro dospělé stanoví ředitel školy výši úplaty za vzdělávání </w:t>
      </w:r>
      <w:r w:rsidRPr="00634DBF">
        <w:rPr>
          <w:rFonts w:ascii="Trebuchet MS" w:eastAsia="Times New Roman" w:hAnsi="Trebuchet MS" w:cs="Times New Roman"/>
          <w:color w:val="000000"/>
          <w:sz w:val="24"/>
          <w:szCs w:val="24"/>
          <w:lang w:eastAsia="cs-CZ"/>
        </w:rPr>
        <w:br/>
        <w:t>a) u žáků, kteří se zároveň vzdělávají v denní formě vzdělávání ve střední škole, v denní formě vzdělávání v konzervatoři nebo v denní formě vzdělávání ve vyšší odborné škole, podle odstavce 1, </w:t>
      </w:r>
      <w:r w:rsidRPr="00634DBF">
        <w:rPr>
          <w:rFonts w:ascii="Trebuchet MS" w:eastAsia="Times New Roman" w:hAnsi="Trebuchet MS" w:cs="Times New Roman"/>
          <w:color w:val="000000"/>
          <w:sz w:val="24"/>
          <w:szCs w:val="24"/>
          <w:lang w:eastAsia="cs-CZ"/>
        </w:rPr>
        <w:br/>
        <w:t>b) u žáků, kteří nejsou uvedeni v písmeni a), nejvýše v plné výši průměru skutečných neinvestičních výdajů na žáka v uplynulém kalendářním roce.</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§8 (3)</w:t>
      </w:r>
      <w:r w:rsidRPr="00634DBF">
        <w:rPr>
          <w:rFonts w:ascii="Trebuchet MS" w:eastAsia="Times New Roman" w:hAnsi="Trebuchet MS" w:cs="Times New Roman"/>
          <w:color w:val="000000"/>
          <w:sz w:val="24"/>
          <w:szCs w:val="24"/>
          <w:lang w:eastAsia="cs-CZ"/>
        </w:rPr>
        <w:t> Ukončí-li žák vzdělávání podle § 7 odst. 2 písm. b) nebo c) v průběhu prvního nebo druhého pololetí školního roku, úplata za vzdělávání se nevrací. Ukončí-li žák vzdělávání podle §7 odst. 2 písm. c) z důvodů hodných zvláštního zřetele, zejména zdravotních, lze poměrnou část úplaty za vzdělávání vrátit.</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t>§8 (4)</w:t>
      </w:r>
      <w:r w:rsidRPr="00634DBF">
        <w:rPr>
          <w:rFonts w:ascii="Trebuchet MS" w:eastAsia="Times New Roman" w:hAnsi="Trebuchet MS" w:cs="Times New Roman"/>
          <w:color w:val="000000"/>
          <w:sz w:val="24"/>
          <w:szCs w:val="24"/>
          <w:lang w:eastAsia="cs-CZ"/>
        </w:rPr>
        <w:t> Ředitel školy stanoví výši úplaty na období školního roku. Úplatu lze uhradit ročně, pololetně, čtvrtletně nebo měsíčně. Úplata za stanovené období je splatná do 15. dne prvního měsíce příslušného období. Ředitel školy může dohodnout se zákonným zástupcem nezletilého žáka nebo zletilým žákem jiný termín úhrady.</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9 Přehlídky a soutěže</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color w:val="000000"/>
          <w:sz w:val="24"/>
          <w:szCs w:val="24"/>
          <w:lang w:eastAsia="cs-CZ"/>
        </w:rPr>
        <w:t>K podpoře nadaných žáků, k výměně zkušeností a porovnávání výsledků vzdělávání se organizují přehlídky a soutěže žáků v jednotlivých uměleckých oborech a předmětech.</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10 Přechodné ustanovení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color w:val="000000"/>
          <w:sz w:val="24"/>
          <w:szCs w:val="24"/>
          <w:lang w:eastAsia="cs-CZ"/>
        </w:rPr>
        <w:t>Výše úplaty se podle §8 odst. 1 a 2 stanoví od školního roku 2005/2006. Do té doby se postupuje podle dosavadních právních předpisů.</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11 Zrušovací ustanovení</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color w:val="000000"/>
          <w:sz w:val="24"/>
          <w:szCs w:val="24"/>
          <w:lang w:eastAsia="cs-CZ"/>
        </w:rPr>
        <w:t>Zrušuje se: </w:t>
      </w:r>
      <w:r w:rsidRPr="00634DBF">
        <w:rPr>
          <w:rFonts w:ascii="Trebuchet MS" w:eastAsia="Times New Roman" w:hAnsi="Trebuchet MS" w:cs="Times New Roman"/>
          <w:color w:val="000000"/>
          <w:sz w:val="24"/>
          <w:szCs w:val="24"/>
          <w:lang w:eastAsia="cs-CZ"/>
        </w:rPr>
        <w:br/>
        <w:t>1. Vyhláška Ministerstva školství, mládeže a tělovýchovy České republiky č. 292/1991 Sb., o základních uměleckých školách. </w:t>
      </w:r>
      <w:r w:rsidRPr="00634DBF">
        <w:rPr>
          <w:rFonts w:ascii="Trebuchet MS" w:eastAsia="Times New Roman" w:hAnsi="Trebuchet MS" w:cs="Times New Roman"/>
          <w:color w:val="000000"/>
          <w:sz w:val="24"/>
          <w:szCs w:val="24"/>
          <w:lang w:eastAsia="cs-CZ"/>
        </w:rPr>
        <w:br/>
        <w:t>2. Vyhláška č. 151/2003 Sb., kterou se mění vyhláška č. 292/1991 Sb., o základních uměleckých školách, ve znění zákona č. 138/1995 Sb. </w:t>
      </w:r>
      <w:r w:rsidRPr="00634DBF">
        <w:rPr>
          <w:rFonts w:ascii="Trebuchet MS" w:eastAsia="Times New Roman" w:hAnsi="Trebuchet MS" w:cs="Times New Roman"/>
          <w:color w:val="000000"/>
          <w:sz w:val="24"/>
          <w:szCs w:val="24"/>
          <w:lang w:eastAsia="cs-CZ"/>
        </w:rPr>
        <w:br/>
        <w:t>3. Vyhláška č. 155/2004 Sb., kterou se mění vyhláška č. 292/1991 Sb., o základních uměleckých školách, ve znění pozdějších předpisů.</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 12 Účinnost</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color w:val="000000"/>
          <w:sz w:val="24"/>
          <w:szCs w:val="24"/>
          <w:lang w:eastAsia="cs-CZ"/>
        </w:rPr>
        <w:t>Tato vyhláška nabývá účinnosti dnem jejího vyhlášení.</w:t>
      </w:r>
    </w:p>
    <w:p w:rsidR="00634DBF" w:rsidRPr="00634DBF" w:rsidRDefault="00634DBF" w:rsidP="00634DBF">
      <w:pPr>
        <w:shd w:val="clear" w:color="auto" w:fill="FFFFFF"/>
        <w:spacing w:before="240" w:after="90" w:line="240" w:lineRule="auto"/>
        <w:outlineLvl w:val="1"/>
        <w:rPr>
          <w:rFonts w:ascii="Trebuchet MS" w:eastAsia="Times New Roman" w:hAnsi="Trebuchet MS" w:cs="Times New Roman"/>
          <w:b/>
          <w:bCs/>
          <w:color w:val="666666"/>
          <w:sz w:val="27"/>
          <w:szCs w:val="27"/>
          <w:lang w:eastAsia="cs-CZ"/>
        </w:rPr>
      </w:pPr>
      <w:r w:rsidRPr="00634DBF">
        <w:rPr>
          <w:rFonts w:ascii="Trebuchet MS" w:eastAsia="Times New Roman" w:hAnsi="Trebuchet MS" w:cs="Times New Roman"/>
          <w:b/>
          <w:bCs/>
          <w:color w:val="666666"/>
          <w:sz w:val="27"/>
          <w:szCs w:val="27"/>
          <w:lang w:eastAsia="cs-CZ"/>
        </w:rPr>
        <w:t>Poznámky:</w:t>
      </w:r>
    </w:p>
    <w:p w:rsidR="00634DBF" w:rsidRPr="00634DBF" w:rsidRDefault="00634DBF" w:rsidP="00634DBF">
      <w:pPr>
        <w:shd w:val="clear" w:color="auto" w:fill="FFFFFF"/>
        <w:spacing w:after="90" w:line="240" w:lineRule="auto"/>
        <w:rPr>
          <w:rFonts w:ascii="Trebuchet MS" w:eastAsia="Times New Roman" w:hAnsi="Trebuchet MS" w:cs="Times New Roman"/>
          <w:color w:val="000000"/>
          <w:sz w:val="24"/>
          <w:szCs w:val="24"/>
          <w:lang w:eastAsia="cs-CZ"/>
        </w:rPr>
      </w:pPr>
      <w:r w:rsidRPr="00634DBF">
        <w:rPr>
          <w:rFonts w:ascii="Trebuchet MS" w:eastAsia="Times New Roman" w:hAnsi="Trebuchet MS" w:cs="Times New Roman"/>
          <w:b/>
          <w:bCs/>
          <w:color w:val="000000"/>
          <w:sz w:val="24"/>
          <w:szCs w:val="24"/>
          <w:lang w:eastAsia="cs-CZ"/>
        </w:rPr>
        <w:lastRenderedPageBreak/>
        <w:t>[1]</w:t>
      </w:r>
      <w:r w:rsidRPr="00634DBF">
        <w:rPr>
          <w:rFonts w:ascii="Trebuchet MS" w:eastAsia="Times New Roman" w:hAnsi="Trebuchet MS" w:cs="Times New Roman"/>
          <w:color w:val="000000"/>
          <w:sz w:val="24"/>
          <w:szCs w:val="24"/>
          <w:lang w:eastAsia="cs-CZ"/>
        </w:rPr>
        <w:t> § 144 odst. 1 písm. g) školského zákona. </w:t>
      </w:r>
      <w:r w:rsidRPr="00634DBF">
        <w:rPr>
          <w:rFonts w:ascii="Trebuchet MS" w:eastAsia="Times New Roman" w:hAnsi="Trebuchet MS" w:cs="Times New Roman"/>
          <w:color w:val="000000"/>
          <w:sz w:val="24"/>
          <w:szCs w:val="24"/>
          <w:lang w:eastAsia="cs-CZ"/>
        </w:rPr>
        <w:br/>
      </w:r>
      <w:r w:rsidRPr="00634DBF">
        <w:rPr>
          <w:rFonts w:ascii="Trebuchet MS" w:eastAsia="Times New Roman" w:hAnsi="Trebuchet MS" w:cs="Times New Roman"/>
          <w:b/>
          <w:bCs/>
          <w:color w:val="000000"/>
          <w:sz w:val="24"/>
          <w:szCs w:val="24"/>
          <w:lang w:eastAsia="cs-CZ"/>
        </w:rPr>
        <w:t>[2]</w:t>
      </w:r>
      <w:r w:rsidRPr="00634DBF">
        <w:rPr>
          <w:rFonts w:ascii="Trebuchet MS" w:eastAsia="Times New Roman" w:hAnsi="Trebuchet MS" w:cs="Times New Roman"/>
          <w:color w:val="000000"/>
          <w:sz w:val="24"/>
          <w:szCs w:val="24"/>
          <w:lang w:eastAsia="cs-CZ"/>
        </w:rPr>
        <w:t> § 30 odst. 2 školského zákona. </w:t>
      </w:r>
      <w:r w:rsidRPr="00634DBF">
        <w:rPr>
          <w:rFonts w:ascii="Trebuchet MS" w:eastAsia="Times New Roman" w:hAnsi="Trebuchet MS" w:cs="Times New Roman"/>
          <w:color w:val="000000"/>
          <w:sz w:val="24"/>
          <w:szCs w:val="24"/>
          <w:lang w:eastAsia="cs-CZ"/>
        </w:rPr>
        <w:br/>
      </w:r>
      <w:r w:rsidRPr="00634DBF">
        <w:rPr>
          <w:rFonts w:ascii="Trebuchet MS" w:eastAsia="Times New Roman" w:hAnsi="Trebuchet MS" w:cs="Times New Roman"/>
          <w:b/>
          <w:bCs/>
          <w:color w:val="000000"/>
          <w:sz w:val="24"/>
          <w:szCs w:val="24"/>
          <w:lang w:eastAsia="cs-CZ"/>
        </w:rPr>
        <w:t>[3]</w:t>
      </w:r>
      <w:r w:rsidRPr="00634DBF">
        <w:rPr>
          <w:rFonts w:ascii="Trebuchet MS" w:eastAsia="Times New Roman" w:hAnsi="Trebuchet MS" w:cs="Times New Roman"/>
          <w:color w:val="000000"/>
          <w:sz w:val="24"/>
          <w:szCs w:val="24"/>
          <w:lang w:eastAsia="cs-CZ"/>
        </w:rPr>
        <w:t> § 31 odst. 2 až 4 školského zákona. </w:t>
      </w:r>
      <w:r w:rsidRPr="00634DBF">
        <w:rPr>
          <w:rFonts w:ascii="Trebuchet MS" w:eastAsia="Times New Roman" w:hAnsi="Trebuchet MS" w:cs="Times New Roman"/>
          <w:color w:val="000000"/>
          <w:sz w:val="24"/>
          <w:szCs w:val="24"/>
          <w:lang w:eastAsia="cs-CZ"/>
        </w:rPr>
        <w:br/>
      </w:r>
      <w:r w:rsidRPr="00634DBF">
        <w:rPr>
          <w:rFonts w:ascii="Trebuchet MS" w:eastAsia="Times New Roman" w:hAnsi="Trebuchet MS" w:cs="Times New Roman"/>
          <w:b/>
          <w:bCs/>
          <w:color w:val="000000"/>
          <w:sz w:val="24"/>
          <w:szCs w:val="24"/>
          <w:lang w:eastAsia="cs-CZ"/>
        </w:rPr>
        <w:t>[4]</w:t>
      </w:r>
      <w:r w:rsidRPr="00634DBF">
        <w:rPr>
          <w:rFonts w:ascii="Trebuchet MS" w:eastAsia="Times New Roman" w:hAnsi="Trebuchet MS" w:cs="Times New Roman"/>
          <w:color w:val="000000"/>
          <w:sz w:val="24"/>
          <w:szCs w:val="24"/>
          <w:lang w:eastAsia="cs-CZ"/>
        </w:rPr>
        <w:t> § 160 odst. 1 písm. c) školského zákona.</w:t>
      </w:r>
    </w:p>
    <w:p w:rsidR="00B044EA" w:rsidRPr="00634DBF" w:rsidRDefault="00B044EA" w:rsidP="00634DBF">
      <w:bookmarkStart w:id="0" w:name="_GoBack"/>
      <w:bookmarkEnd w:id="0"/>
    </w:p>
    <w:sectPr w:rsidR="00B044EA" w:rsidRPr="00634DBF" w:rsidSect="00264398">
      <w:pgSz w:w="11906" w:h="16838"/>
      <w:pgMar w:top="454" w:right="907" w:bottom="45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AD"/>
    <w:rsid w:val="0014127F"/>
    <w:rsid w:val="001B2752"/>
    <w:rsid w:val="00264398"/>
    <w:rsid w:val="002A7EAD"/>
    <w:rsid w:val="00603877"/>
    <w:rsid w:val="00634DBF"/>
    <w:rsid w:val="00837398"/>
    <w:rsid w:val="008D04EE"/>
    <w:rsid w:val="00B044EA"/>
    <w:rsid w:val="00EB6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777EA-CEC3-42F6-8526-42A9EA5E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34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34DB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4DB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34DB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34D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34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934323">
      <w:bodyDiv w:val="1"/>
      <w:marLeft w:val="0"/>
      <w:marRight w:val="0"/>
      <w:marTop w:val="0"/>
      <w:marBottom w:val="0"/>
      <w:divBdr>
        <w:top w:val="none" w:sz="0" w:space="0" w:color="auto"/>
        <w:left w:val="none" w:sz="0" w:space="0" w:color="auto"/>
        <w:bottom w:val="none" w:sz="0" w:space="0" w:color="auto"/>
        <w:right w:val="none" w:sz="0" w:space="0" w:color="auto"/>
      </w:divBdr>
    </w:div>
    <w:div w:id="14708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11764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Evzen Zomer</dc:creator>
  <cp:keywords/>
  <dc:description/>
  <cp:lastModifiedBy>Evzen Zomer</cp:lastModifiedBy>
  <cp:revision>2</cp:revision>
  <dcterms:created xsi:type="dcterms:W3CDTF">2019-04-19T11:21:00Z</dcterms:created>
  <dcterms:modified xsi:type="dcterms:W3CDTF">2019-04-19T11:21:00Z</dcterms:modified>
</cp:coreProperties>
</file>